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49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  <w:r w:rsidRPr="004478A6">
        <w:rPr>
          <w:rFonts w:ascii="Georgia Pro" w:hAnsi="Georgia Pro" w:cs="Times New Roman"/>
          <w:b/>
          <w:sz w:val="24"/>
          <w:szCs w:val="24"/>
        </w:rPr>
        <w:t>REDAK</w:t>
      </w:r>
      <w:r>
        <w:rPr>
          <w:rFonts w:ascii="Georgia Pro" w:hAnsi="Georgia Pro" w:cs="Times New Roman"/>
          <w:b/>
          <w:sz w:val="24"/>
          <w:szCs w:val="24"/>
        </w:rPr>
        <w:t>CE SBORNÍKU</w:t>
      </w:r>
    </w:p>
    <w:p w:rsidR="004B3A49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</w:p>
    <w:p w:rsidR="004B3A49" w:rsidRPr="004478A6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  <w:r w:rsidRPr="004478A6">
        <w:rPr>
          <w:rFonts w:ascii="Georgia Pro" w:hAnsi="Georgia Pro" w:cs="Times New Roman"/>
          <w:sz w:val="24"/>
          <w:szCs w:val="24"/>
        </w:rPr>
        <w:t xml:space="preserve">Redakční rada zasedá dvakrát ročně, obvykle v červnu a v září. Redakce sborníku přijímá příspěvky, které odpovídají zaměření periodika a základním standardům vědecké práce, mají odpovídající jazykovou úroveň a nebyly dosud publikovány. </w:t>
      </w:r>
    </w:p>
    <w:p w:rsidR="004B3A49" w:rsidRPr="004478A6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</w:p>
    <w:p w:rsidR="004B3A49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  <w:r w:rsidRPr="004478A6">
        <w:rPr>
          <w:rFonts w:ascii="Georgia Pro" w:hAnsi="Georgia Pro" w:cs="Times New Roman"/>
          <w:sz w:val="24"/>
          <w:szCs w:val="24"/>
        </w:rPr>
        <w:t xml:space="preserve">Autor či autorský tým nabídnutím rukopisu redakci sborníku deklaruje vůli poskytnout Muzeu Jindřichohradecka jako vydavateli Vlastivědného sborníku </w:t>
      </w:r>
      <w:proofErr w:type="spellStart"/>
      <w:r w:rsidRPr="004478A6">
        <w:rPr>
          <w:rFonts w:ascii="Georgia Pro" w:hAnsi="Georgia Pro" w:cs="Times New Roman"/>
          <w:sz w:val="24"/>
          <w:szCs w:val="24"/>
        </w:rPr>
        <w:t>Dačicka</w:t>
      </w:r>
      <w:proofErr w:type="spellEnd"/>
      <w:r w:rsidRPr="004478A6">
        <w:rPr>
          <w:rFonts w:ascii="Georgia Pro" w:hAnsi="Georgia Pro" w:cs="Times New Roman"/>
          <w:sz w:val="24"/>
          <w:szCs w:val="24"/>
        </w:rPr>
        <w:t>, Jindřichohradecka a Třeboňska v plném rozsahu všechna příslušná autorská práva k jeho publikování. Zároveň autor zůstává výhradním držitelem autorských práv k příslušnému rukopisu i ke všem jeho přílohám včetně obrázků</w:t>
      </w:r>
      <w:r>
        <w:rPr>
          <w:rFonts w:ascii="Georgia Pro" w:hAnsi="Georgia Pro" w:cs="Times New Roman"/>
          <w:sz w:val="24"/>
          <w:szCs w:val="24"/>
        </w:rPr>
        <w:t xml:space="preserve">. Autor odpovídá za zajištění autorských a reprodukčních práv obrazových příloh k tištěné i elektronické publikaci. </w:t>
      </w:r>
    </w:p>
    <w:p w:rsidR="004B3A49" w:rsidRPr="004478A6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</w:p>
    <w:p w:rsidR="004B3A49" w:rsidRPr="004478A6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  <w:r w:rsidRPr="004478A6">
        <w:rPr>
          <w:rFonts w:ascii="Georgia Pro" w:hAnsi="Georgia Pro" w:cs="Times New Roman"/>
          <w:sz w:val="24"/>
          <w:szCs w:val="24"/>
        </w:rPr>
        <w:t>Definitivní verze příspěvku prochází závěrečným redakčním čtením a následně jazykovou korekturou. Po vyhotovení sazby je příspěvek autorovi zaslán ke korektuře</w:t>
      </w:r>
      <w:r>
        <w:rPr>
          <w:rFonts w:ascii="Georgia Pro" w:hAnsi="Georgia Pro" w:cs="Times New Roman"/>
          <w:sz w:val="24"/>
          <w:szCs w:val="24"/>
        </w:rPr>
        <w:t>.</w:t>
      </w:r>
      <w:r w:rsidRPr="004478A6">
        <w:rPr>
          <w:rFonts w:ascii="Georgia Pro" w:hAnsi="Georgia Pro" w:cs="Times New Roman"/>
          <w:sz w:val="24"/>
          <w:szCs w:val="24"/>
        </w:rPr>
        <w:t xml:space="preserve"> </w:t>
      </w:r>
      <w:r>
        <w:rPr>
          <w:rFonts w:ascii="Georgia Pro" w:hAnsi="Georgia Pro" w:cs="Times New Roman"/>
          <w:sz w:val="24"/>
          <w:szCs w:val="24"/>
        </w:rPr>
        <w:t xml:space="preserve">Prosíme autory, aby dodržovali pokyny redakce a </w:t>
      </w:r>
      <w:r w:rsidRPr="004478A6">
        <w:rPr>
          <w:rFonts w:ascii="Georgia Pro" w:hAnsi="Georgia Pro" w:cs="Times New Roman"/>
          <w:sz w:val="24"/>
          <w:szCs w:val="24"/>
        </w:rPr>
        <w:t>aktivně spolupracova</w:t>
      </w:r>
      <w:r>
        <w:rPr>
          <w:rFonts w:ascii="Georgia Pro" w:hAnsi="Georgia Pro" w:cs="Times New Roman"/>
          <w:sz w:val="24"/>
          <w:szCs w:val="24"/>
        </w:rPr>
        <w:t>li</w:t>
      </w:r>
      <w:r w:rsidRPr="004478A6">
        <w:rPr>
          <w:rFonts w:ascii="Georgia Pro" w:hAnsi="Georgia Pro" w:cs="Times New Roman"/>
          <w:sz w:val="24"/>
          <w:szCs w:val="24"/>
        </w:rPr>
        <w:t xml:space="preserve"> v průběhu vydání příspěvku až do okamžiku odeslání příslušného svazku do tisku. Po vydání svazku obdrží autor dva výtisky časopisu a PDF svého příspěvku</w:t>
      </w:r>
      <w:r>
        <w:rPr>
          <w:rFonts w:ascii="Georgia Pro" w:hAnsi="Georgia Pro" w:cs="Times New Roman"/>
          <w:sz w:val="24"/>
          <w:szCs w:val="24"/>
        </w:rPr>
        <w:t>.</w:t>
      </w:r>
      <w:r w:rsidRPr="004478A6">
        <w:rPr>
          <w:rFonts w:ascii="Georgia Pro" w:hAnsi="Georgia Pro" w:cs="Times New Roman"/>
          <w:sz w:val="24"/>
          <w:szCs w:val="24"/>
        </w:rPr>
        <w:t xml:space="preserve"> </w:t>
      </w:r>
    </w:p>
    <w:p w:rsidR="004B3A49" w:rsidRPr="004478A6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</w:p>
    <w:p w:rsidR="004B3A49" w:rsidRPr="004478A6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  <w:r w:rsidRPr="004478A6">
        <w:rPr>
          <w:rFonts w:ascii="Georgia Pro" w:hAnsi="Georgia Pro" w:cs="Times New Roman"/>
          <w:sz w:val="24"/>
          <w:szCs w:val="24"/>
        </w:rPr>
        <w:t>K příspěvkům zařazeným redakční radou do oddílu Články stanoví redakční ra</w:t>
      </w:r>
      <w:r>
        <w:rPr>
          <w:rFonts w:ascii="Georgia Pro" w:hAnsi="Georgia Pro" w:cs="Times New Roman"/>
          <w:sz w:val="24"/>
          <w:szCs w:val="24"/>
        </w:rPr>
        <w:t xml:space="preserve">da oponenta textu, jehož pokyny autor </w:t>
      </w:r>
      <w:r w:rsidRPr="004478A6">
        <w:rPr>
          <w:rFonts w:ascii="Georgia Pro" w:hAnsi="Georgia Pro" w:cs="Times New Roman"/>
          <w:sz w:val="24"/>
          <w:szCs w:val="24"/>
        </w:rPr>
        <w:t>respekt</w:t>
      </w:r>
      <w:r>
        <w:rPr>
          <w:rFonts w:ascii="Georgia Pro" w:hAnsi="Georgia Pro" w:cs="Times New Roman"/>
          <w:sz w:val="24"/>
          <w:szCs w:val="24"/>
        </w:rPr>
        <w:t>uje</w:t>
      </w:r>
      <w:r w:rsidRPr="004478A6">
        <w:rPr>
          <w:rFonts w:ascii="Georgia Pro" w:hAnsi="Georgia Pro" w:cs="Times New Roman"/>
          <w:sz w:val="24"/>
          <w:szCs w:val="24"/>
        </w:rPr>
        <w:t>. Příspěvek do tohoto oddílu musí být opatřen anotací (maximálně 1 000 znaků včetně mezer)</w:t>
      </w:r>
      <w:r>
        <w:rPr>
          <w:rFonts w:ascii="Georgia Pro" w:hAnsi="Georgia Pro" w:cs="Times New Roman"/>
          <w:sz w:val="24"/>
          <w:szCs w:val="24"/>
        </w:rPr>
        <w:t xml:space="preserve"> a 5 klíčovými slovy. P</w:t>
      </w:r>
      <w:r w:rsidRPr="004478A6">
        <w:rPr>
          <w:rFonts w:ascii="Georgia Pro" w:hAnsi="Georgia Pro" w:cs="Times New Roman"/>
          <w:sz w:val="24"/>
          <w:szCs w:val="24"/>
        </w:rPr>
        <w:t xml:space="preserve">řeklad do angličtiny pro potřeby sborníku zajistí redakce. </w:t>
      </w:r>
    </w:p>
    <w:p w:rsidR="004B3A49" w:rsidRPr="004478A6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</w:p>
    <w:p w:rsidR="004B3A49" w:rsidRDefault="004B3A49" w:rsidP="004B3A49">
      <w:pPr>
        <w:widowControl w:val="0"/>
        <w:spacing w:after="0" w:line="240" w:lineRule="auto"/>
        <w:rPr>
          <w:rFonts w:ascii="Georgia Pro" w:hAnsi="Georgia Pro" w:cs="Times New Roman"/>
          <w:sz w:val="24"/>
          <w:szCs w:val="24"/>
        </w:rPr>
      </w:pPr>
      <w:r w:rsidRPr="004478A6">
        <w:rPr>
          <w:rFonts w:ascii="Georgia Pro" w:hAnsi="Georgia Pro" w:cs="Times New Roman"/>
          <w:sz w:val="24"/>
          <w:szCs w:val="24"/>
        </w:rPr>
        <w:t>Redakční rada si vyhrazuje právo k posouzení příspěvku</w:t>
      </w:r>
      <w:r>
        <w:rPr>
          <w:rFonts w:ascii="Georgia Pro" w:hAnsi="Georgia Pro" w:cs="Times New Roman"/>
          <w:sz w:val="24"/>
          <w:szCs w:val="24"/>
        </w:rPr>
        <w:t>.</w:t>
      </w:r>
      <w:r w:rsidRPr="004478A6">
        <w:rPr>
          <w:rFonts w:ascii="Georgia Pro" w:hAnsi="Georgia Pro" w:cs="Times New Roman"/>
          <w:sz w:val="24"/>
          <w:szCs w:val="24"/>
        </w:rPr>
        <w:t xml:space="preserve"> </w:t>
      </w:r>
      <w:r>
        <w:rPr>
          <w:rFonts w:ascii="Georgia Pro" w:hAnsi="Georgia Pro" w:cs="Times New Roman"/>
          <w:sz w:val="24"/>
          <w:szCs w:val="24"/>
        </w:rPr>
        <w:t>A</w:t>
      </w:r>
      <w:r w:rsidRPr="004478A6">
        <w:rPr>
          <w:rFonts w:ascii="Georgia Pro" w:hAnsi="Georgia Pro" w:cs="Times New Roman"/>
          <w:sz w:val="24"/>
          <w:szCs w:val="24"/>
        </w:rPr>
        <w:t xml:space="preserve">utorovi </w:t>
      </w:r>
      <w:r>
        <w:rPr>
          <w:rFonts w:ascii="Georgia Pro" w:hAnsi="Georgia Pro" w:cs="Times New Roman"/>
          <w:sz w:val="24"/>
          <w:szCs w:val="24"/>
        </w:rPr>
        <w:t xml:space="preserve">může </w:t>
      </w:r>
      <w:r w:rsidRPr="004478A6">
        <w:rPr>
          <w:rFonts w:ascii="Georgia Pro" w:hAnsi="Georgia Pro" w:cs="Times New Roman"/>
          <w:sz w:val="24"/>
          <w:szCs w:val="24"/>
        </w:rPr>
        <w:t>navrhn</w:t>
      </w:r>
      <w:r>
        <w:rPr>
          <w:rFonts w:ascii="Georgia Pro" w:hAnsi="Georgia Pro" w:cs="Times New Roman"/>
          <w:sz w:val="24"/>
          <w:szCs w:val="24"/>
        </w:rPr>
        <w:t>out</w:t>
      </w:r>
      <w:r w:rsidRPr="004478A6">
        <w:rPr>
          <w:rFonts w:ascii="Georgia Pro" w:hAnsi="Georgia Pro" w:cs="Times New Roman"/>
          <w:sz w:val="24"/>
          <w:szCs w:val="24"/>
        </w:rPr>
        <w:t xml:space="preserve"> doplnění či přepracování</w:t>
      </w:r>
      <w:r>
        <w:rPr>
          <w:rFonts w:ascii="Georgia Pro" w:hAnsi="Georgia Pro" w:cs="Times New Roman"/>
          <w:sz w:val="24"/>
          <w:szCs w:val="24"/>
        </w:rPr>
        <w:t>, případně rozhodnout, že příspěvek nebude otištěn. Redakce též stanovuje konečné množství obrazových příloh</w:t>
      </w:r>
      <w:r w:rsidRPr="00FE5DC5">
        <w:rPr>
          <w:rFonts w:ascii="Georgia Pro" w:hAnsi="Georgia Pro" w:cs="Times New Roman"/>
          <w:sz w:val="24"/>
          <w:szCs w:val="24"/>
        </w:rPr>
        <w:t>.</w:t>
      </w:r>
      <w:r>
        <w:rPr>
          <w:rFonts w:ascii="Georgia Pro" w:hAnsi="Georgia Pro" w:cs="Times New Roman"/>
          <w:sz w:val="24"/>
          <w:szCs w:val="24"/>
        </w:rPr>
        <w:t xml:space="preserve"> </w:t>
      </w:r>
      <w:r w:rsidRPr="004478A6">
        <w:rPr>
          <w:rFonts w:ascii="Georgia Pro" w:hAnsi="Georgia Pro" w:cs="Times New Roman"/>
          <w:sz w:val="24"/>
          <w:szCs w:val="24"/>
        </w:rPr>
        <w:t>Příspěvky jsou honorovány dle interních pravidel vydavatele. O konečné podobě příslušného čísla rozhoduje odpovědný redaktor ve spolupráci s redakční radou.</w:t>
      </w:r>
    </w:p>
    <w:p w:rsidR="004B3A49" w:rsidRDefault="004B3A49" w:rsidP="004B3A49">
      <w:pPr>
        <w:spacing w:after="0" w:line="240" w:lineRule="auto"/>
        <w:rPr>
          <w:rFonts w:ascii="Georgia Pro" w:hAnsi="Georgia Pro"/>
          <w:b/>
        </w:rPr>
      </w:pPr>
    </w:p>
    <w:p w:rsidR="004B3A49" w:rsidRPr="000672CF" w:rsidRDefault="004B3A49" w:rsidP="004B3A49">
      <w:pPr>
        <w:spacing w:after="0" w:line="240" w:lineRule="auto"/>
        <w:rPr>
          <w:rFonts w:ascii="Georgia Pro" w:hAnsi="Georgia Pro"/>
          <w:b/>
        </w:rPr>
      </w:pPr>
      <w:r w:rsidRPr="000672CF">
        <w:rPr>
          <w:rFonts w:ascii="Georgia Pro" w:hAnsi="Georgia Pro"/>
          <w:b/>
        </w:rPr>
        <w:t>POKYNY PRO AUTORY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  <w:b/>
        </w:rPr>
      </w:pP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1. příspěvky prosím předkládejte v elektronické podobě psané ve MS WORD a používejte pouze obyčejné, neprokládané písmo </w:t>
      </w:r>
      <w:proofErr w:type="spellStart"/>
      <w:r w:rsidRPr="000672CF">
        <w:rPr>
          <w:rFonts w:ascii="Georgia Pro" w:hAnsi="Georgia Pro"/>
        </w:rPr>
        <w:t>Times</w:t>
      </w:r>
      <w:proofErr w:type="spellEnd"/>
      <w:r w:rsidRPr="000672CF">
        <w:rPr>
          <w:rFonts w:ascii="Georgia Pro" w:hAnsi="Georgia Pro"/>
        </w:rPr>
        <w:t xml:space="preserve"> New Roman velikosti 12, jednoduché řádkování, text dodejte se zarovnáním vlevo, nepoužívejte odražení na začátku odstavců a slova nerozdělujte;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>2. obrazové přílohy dodejte ve formátu JPG (v rozlišení 300 dpi</w:t>
      </w:r>
      <w:r>
        <w:rPr>
          <w:rFonts w:ascii="Georgia Pro" w:hAnsi="Georgia Pro"/>
        </w:rPr>
        <w:t>, maximálně 10 př</w:t>
      </w:r>
      <w:r w:rsidR="005A6E01">
        <w:rPr>
          <w:rFonts w:ascii="Georgia Pro" w:hAnsi="Georgia Pro"/>
        </w:rPr>
        <w:t>í</w:t>
      </w:r>
      <w:r>
        <w:rPr>
          <w:rFonts w:ascii="Georgia Pro" w:hAnsi="Georgia Pro"/>
        </w:rPr>
        <w:t>loh</w:t>
      </w:r>
      <w:r w:rsidRPr="000672CF">
        <w:rPr>
          <w:rFonts w:ascii="Georgia Pro" w:hAnsi="Georgia Pro"/>
        </w:rPr>
        <w:t xml:space="preserve">), popisky zašlete v samostatném wordovém souboru a uvádějte autora a zdroj přílohy (autor odpovídá za zajištění autorských a reprodukčních práv svých obrazových příloh k tištěné i elektronické publikaci); 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>3. poznámky a citace upravujte podle úzu zavedeného v Českém časopise historickém a používejte k jejich vkládání nástroj programu Word (poznámka pod čarou);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>4. k hlavním článkům přikládejte anotaci v rozsahu maximálně 1 000 znaků a pět klíčových slov;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>5. poskytněte redakci svou afiliaci: jméno a příjmení, název a adresa pracoviště nebo bydliště, telefonní a emailový kontakt.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</w:p>
    <w:p w:rsidR="004B3A49" w:rsidRPr="00E00A63" w:rsidRDefault="004B3A49" w:rsidP="004B3A49">
      <w:pPr>
        <w:spacing w:after="0" w:line="240" w:lineRule="auto"/>
        <w:rPr>
          <w:rFonts w:ascii="Georgia Pro" w:hAnsi="Georgia Pro"/>
          <w:b/>
        </w:rPr>
      </w:pPr>
      <w:r w:rsidRPr="00E00A63">
        <w:rPr>
          <w:rFonts w:ascii="Georgia Pro" w:hAnsi="Georgia Pro"/>
          <w:b/>
        </w:rPr>
        <w:t>CITACE</w:t>
      </w:r>
      <w:r>
        <w:rPr>
          <w:rFonts w:ascii="Georgia Pro" w:hAnsi="Georgia Pro"/>
          <w:b/>
        </w:rPr>
        <w:t xml:space="preserve"> 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Při první zmínce rozepište křestní jméno autora (autorky), při první zmínce rozepisujte i  názvy časopisů, archivů či archivních fondů, do závorky pak uveďte následně užívanou zkratku. Při citacích archivního materiálu uveďte nejdříve název a místo archivu, pak název </w:t>
      </w:r>
      <w:r w:rsidRPr="000672CF">
        <w:rPr>
          <w:rFonts w:ascii="Georgia Pro" w:hAnsi="Georgia Pro"/>
        </w:rPr>
        <w:lastRenderedPageBreak/>
        <w:t xml:space="preserve">fondu a bližší identifikaci pramene. Konvenční zkratky, které není třeba rozepisovat, jsou </w:t>
      </w:r>
      <w:proofErr w:type="spellStart"/>
      <w:r w:rsidRPr="000672CF">
        <w:rPr>
          <w:rFonts w:ascii="Georgia Pro" w:hAnsi="Georgia Pro"/>
        </w:rPr>
        <w:t>inv</w:t>
      </w:r>
      <w:proofErr w:type="spellEnd"/>
      <w:r w:rsidRPr="000672CF">
        <w:rPr>
          <w:rFonts w:ascii="Georgia Pro" w:hAnsi="Georgia Pro"/>
        </w:rPr>
        <w:t xml:space="preserve">. č. (inventární číslo), sign. (signatura), </w:t>
      </w:r>
      <w:proofErr w:type="spellStart"/>
      <w:r w:rsidRPr="000672CF">
        <w:rPr>
          <w:rFonts w:ascii="Georgia Pro" w:hAnsi="Georgia Pro"/>
        </w:rPr>
        <w:t>kart</w:t>
      </w:r>
      <w:proofErr w:type="spellEnd"/>
      <w:r w:rsidRPr="000672CF">
        <w:rPr>
          <w:rFonts w:ascii="Georgia Pro" w:hAnsi="Georgia Pro"/>
        </w:rPr>
        <w:t>. (karton).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1. Alois MÍKA, </w:t>
      </w:r>
      <w:r w:rsidRPr="000672CF">
        <w:rPr>
          <w:rFonts w:ascii="Georgia Pro" w:hAnsi="Georgia Pro"/>
          <w:i/>
        </w:rPr>
        <w:t xml:space="preserve">Osud slavného domu, </w:t>
      </w:r>
      <w:r w:rsidRPr="000672CF">
        <w:rPr>
          <w:rFonts w:ascii="Georgia Pro" w:hAnsi="Georgia Pro"/>
        </w:rPr>
        <w:t>České Budějovice 1970, s. 36.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2. Ivo HLOBIL – Eduard PETRŮ, </w:t>
      </w:r>
      <w:r w:rsidRPr="000672CF">
        <w:rPr>
          <w:rFonts w:ascii="Georgia Pro" w:hAnsi="Georgia Pro"/>
          <w:i/>
        </w:rPr>
        <w:t>Humanismus a raná renesance na Moravě</w:t>
      </w:r>
      <w:r w:rsidRPr="000672CF">
        <w:rPr>
          <w:rFonts w:ascii="Georgia Pro" w:hAnsi="Georgia Pro"/>
        </w:rPr>
        <w:t>, Praha 1992, s. 45.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>3. Tamtéž, s. 46.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4. Josef HEJNIC, </w:t>
      </w:r>
      <w:r w:rsidRPr="000672CF">
        <w:rPr>
          <w:rFonts w:ascii="Georgia Pro" w:hAnsi="Georgia Pro"/>
          <w:i/>
        </w:rPr>
        <w:t>Škola</w:t>
      </w:r>
      <w:r w:rsidRPr="000672CF">
        <w:rPr>
          <w:rFonts w:ascii="Georgia Pro" w:hAnsi="Georgia Pro"/>
        </w:rPr>
        <w:t xml:space="preserve"> </w:t>
      </w:r>
      <w:r w:rsidRPr="000672CF">
        <w:rPr>
          <w:rFonts w:ascii="Georgia Pro" w:hAnsi="Georgia Pro"/>
          <w:i/>
        </w:rPr>
        <w:t>v Kájově v 17. a 18. století</w:t>
      </w:r>
      <w:r w:rsidRPr="000672CF">
        <w:rPr>
          <w:rFonts w:ascii="Georgia Pro" w:hAnsi="Georgia Pro"/>
        </w:rPr>
        <w:t>, Jihočeský sborník historický (dále JSH) 51, 1982, s. 185–197.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5. TÝŽ, </w:t>
      </w:r>
      <w:r w:rsidRPr="000672CF">
        <w:rPr>
          <w:rFonts w:ascii="Georgia Pro" w:hAnsi="Georgia Pro"/>
          <w:i/>
        </w:rPr>
        <w:t xml:space="preserve">Tomáš </w:t>
      </w:r>
      <w:proofErr w:type="spellStart"/>
      <w:r w:rsidRPr="000672CF">
        <w:rPr>
          <w:rFonts w:ascii="Georgia Pro" w:hAnsi="Georgia Pro"/>
          <w:i/>
        </w:rPr>
        <w:t>Bavorovský</w:t>
      </w:r>
      <w:proofErr w:type="spellEnd"/>
      <w:r w:rsidRPr="000672CF">
        <w:rPr>
          <w:rFonts w:ascii="Georgia Pro" w:hAnsi="Georgia Pro"/>
          <w:i/>
        </w:rPr>
        <w:t xml:space="preserve"> a Český Krumlov</w:t>
      </w:r>
      <w:r w:rsidRPr="000672CF">
        <w:rPr>
          <w:rFonts w:ascii="Georgia Pro" w:hAnsi="Georgia Pro"/>
        </w:rPr>
        <w:t>, JSH 40, 1971, s. 78–83.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6. Josef PETRÁŇ, </w:t>
      </w:r>
      <w:r w:rsidRPr="000672CF">
        <w:rPr>
          <w:rFonts w:ascii="Georgia Pro" w:hAnsi="Georgia Pro"/>
          <w:i/>
        </w:rPr>
        <w:t>Rok 1547 v českých dějinách</w:t>
      </w:r>
      <w:r w:rsidRPr="000672CF">
        <w:rPr>
          <w:rFonts w:ascii="Georgia Pro" w:hAnsi="Georgia Pro"/>
        </w:rPr>
        <w:t>, in: Petr VOREL (</w:t>
      </w:r>
      <w:proofErr w:type="spellStart"/>
      <w:r w:rsidRPr="000672CF">
        <w:rPr>
          <w:rFonts w:ascii="Georgia Pro" w:hAnsi="Georgia Pro"/>
        </w:rPr>
        <w:t>ed</w:t>
      </w:r>
      <w:proofErr w:type="spellEnd"/>
      <w:r w:rsidRPr="000672CF">
        <w:rPr>
          <w:rFonts w:ascii="Georgia Pro" w:hAnsi="Georgia Pro"/>
        </w:rPr>
        <w:t>.), Stavovský odboj roku 1547. První krize habsburské monarchie, Pardubice, Praha 1997, s. 5–10.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7. Josef VÁLKA, </w:t>
      </w:r>
      <w:r w:rsidRPr="000672CF">
        <w:rPr>
          <w:rFonts w:ascii="Georgia Pro" w:hAnsi="Georgia Pro"/>
          <w:i/>
        </w:rPr>
        <w:t>Morava a porážky českých stavovských povstání</w:t>
      </w:r>
      <w:r w:rsidRPr="000672CF">
        <w:rPr>
          <w:rFonts w:ascii="Georgia Pro" w:hAnsi="Georgia Pro"/>
        </w:rPr>
        <w:t>, in: P. VOREL (</w:t>
      </w:r>
      <w:proofErr w:type="spellStart"/>
      <w:r w:rsidRPr="000672CF">
        <w:rPr>
          <w:rFonts w:ascii="Georgia Pro" w:hAnsi="Georgia Pro"/>
        </w:rPr>
        <w:t>ed</w:t>
      </w:r>
      <w:proofErr w:type="spellEnd"/>
      <w:r w:rsidRPr="000672CF">
        <w:rPr>
          <w:rFonts w:ascii="Georgia Pro" w:hAnsi="Georgia Pro"/>
        </w:rPr>
        <w:t>.), Stavovský odboj, s. 29–40.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>8. Josef JIREČEK (</w:t>
      </w:r>
      <w:proofErr w:type="spellStart"/>
      <w:r w:rsidRPr="000672CF">
        <w:rPr>
          <w:rFonts w:ascii="Georgia Pro" w:hAnsi="Georgia Pro"/>
        </w:rPr>
        <w:t>ed</w:t>
      </w:r>
      <w:proofErr w:type="spellEnd"/>
      <w:r w:rsidRPr="000672CF">
        <w:rPr>
          <w:rFonts w:ascii="Georgia Pro" w:hAnsi="Georgia Pro"/>
        </w:rPr>
        <w:t xml:space="preserve">.), </w:t>
      </w:r>
      <w:r w:rsidRPr="000672CF">
        <w:rPr>
          <w:rFonts w:ascii="Georgia Pro" w:hAnsi="Georgia Pro"/>
          <w:i/>
        </w:rPr>
        <w:t>Zřízení zemská Království českého XVI. věku</w:t>
      </w:r>
      <w:r w:rsidRPr="000672CF">
        <w:rPr>
          <w:rFonts w:ascii="Georgia Pro" w:hAnsi="Georgia Pro"/>
        </w:rPr>
        <w:t>, Praha 1882. s. 216.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>9. Václav BŘEZAN (</w:t>
      </w:r>
      <w:proofErr w:type="spellStart"/>
      <w:r w:rsidRPr="000672CF">
        <w:rPr>
          <w:rFonts w:ascii="Georgia Pro" w:hAnsi="Georgia Pro"/>
        </w:rPr>
        <w:t>ed</w:t>
      </w:r>
      <w:proofErr w:type="spellEnd"/>
      <w:r w:rsidRPr="000672CF">
        <w:rPr>
          <w:rFonts w:ascii="Georgia Pro" w:hAnsi="Georgia Pro"/>
        </w:rPr>
        <w:t xml:space="preserve">. Jaroslav PÁNEK), </w:t>
      </w:r>
      <w:r w:rsidRPr="000672CF">
        <w:rPr>
          <w:rFonts w:ascii="Georgia Pro" w:hAnsi="Georgia Pro"/>
          <w:i/>
        </w:rPr>
        <w:t>Životy posledních Rožmberků I-II,</w:t>
      </w:r>
      <w:r w:rsidRPr="000672CF">
        <w:rPr>
          <w:rFonts w:ascii="Georgia Pro" w:hAnsi="Georgia Pro"/>
        </w:rPr>
        <w:t xml:space="preserve"> Praha 1985.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10. Státní oblastní archiv (dále SOA) Třeboň, Velkostatek (dále </w:t>
      </w:r>
      <w:proofErr w:type="spellStart"/>
      <w:r w:rsidRPr="000672CF">
        <w:rPr>
          <w:rFonts w:ascii="Georgia Pro" w:hAnsi="Georgia Pro"/>
        </w:rPr>
        <w:t>Vs</w:t>
      </w:r>
      <w:proofErr w:type="spellEnd"/>
      <w:r w:rsidRPr="000672CF">
        <w:rPr>
          <w:rFonts w:ascii="Georgia Pro" w:hAnsi="Georgia Pro"/>
        </w:rPr>
        <w:t>) Orlík, sign. H-1a/4, plán č. 1486.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11. Karel CHUDOMELKA, </w:t>
      </w:r>
      <w:r w:rsidRPr="000672CF">
        <w:rPr>
          <w:rFonts w:ascii="Georgia Pro" w:hAnsi="Georgia Pro"/>
          <w:i/>
        </w:rPr>
        <w:t>Zápis ze ska</w:t>
      </w:r>
      <w:r w:rsidR="005A6E01">
        <w:rPr>
          <w:rFonts w:ascii="Georgia Pro" w:hAnsi="Georgia Pro"/>
          <w:i/>
        </w:rPr>
        <w:t xml:space="preserve">utské kroniky z pobytu v Číměři </w:t>
      </w:r>
      <w:r w:rsidR="005A6E01">
        <w:rPr>
          <w:rFonts w:ascii="Georgia Pro" w:hAnsi="Georgia Pro"/>
        </w:rPr>
        <w:t>[o</w:t>
      </w:r>
      <w:r w:rsidRPr="000672CF">
        <w:rPr>
          <w:rFonts w:ascii="Georgia Pro" w:hAnsi="Georgia Pro"/>
        </w:rPr>
        <w:t>nline</w:t>
      </w:r>
      <w:r w:rsidR="005A6E01">
        <w:rPr>
          <w:rFonts w:ascii="Georgia Pro" w:hAnsi="Georgia Pro"/>
        </w:rPr>
        <w:t>]</w:t>
      </w:r>
      <w:bookmarkStart w:id="0" w:name="_GoBack"/>
      <w:bookmarkEnd w:id="0"/>
      <w:r w:rsidRPr="000672CF">
        <w:rPr>
          <w:rFonts w:ascii="Georgia Pro" w:hAnsi="Georgia Pro"/>
          <w:i/>
        </w:rPr>
        <w:t>.</w:t>
      </w:r>
      <w:r w:rsidRPr="000672CF">
        <w:rPr>
          <w:rFonts w:ascii="Georgia Pro" w:hAnsi="Georgia Pro"/>
        </w:rPr>
        <w:t xml:space="preserve"> Dostupné z: http://ceskakanadavypravuje.cz/wp-content/uploads/2018/03/Dva-měsíce-v-Číměři.pdf. [citováno 2023-07-21]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</w:p>
    <w:p w:rsidR="004B3A49" w:rsidRPr="00E00A63" w:rsidRDefault="004B3A49" w:rsidP="004B3A49">
      <w:pPr>
        <w:spacing w:after="0" w:line="240" w:lineRule="auto"/>
        <w:rPr>
          <w:rFonts w:ascii="Georgia Pro" w:hAnsi="Georgia Pro"/>
          <w:b/>
        </w:rPr>
      </w:pPr>
      <w:r>
        <w:rPr>
          <w:rFonts w:ascii="Georgia Pro" w:hAnsi="Georgia Pro"/>
          <w:b/>
        </w:rPr>
        <w:t>ZKRÁCENÁ CITACE</w:t>
      </w:r>
    </w:p>
    <w:p w:rsidR="004B3A49" w:rsidRPr="000672CF" w:rsidRDefault="004B3A49" w:rsidP="004B3A49">
      <w:pPr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>Ve zkrácených citacích při druhém a dalším zmínění díla či archivního pramene uvádějte křestní jméno autora (autorky) iniciálou; název díla zkracujte na první smysluplné substantivum.</w:t>
      </w:r>
    </w:p>
    <w:p w:rsidR="004B3A49" w:rsidRPr="000672CF" w:rsidRDefault="004B3A49" w:rsidP="004B3A49">
      <w:pPr>
        <w:numPr>
          <w:ilvl w:val="0"/>
          <w:numId w:val="1"/>
        </w:numPr>
        <w:tabs>
          <w:tab w:val="num" w:pos="284"/>
        </w:tabs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A. MÍKA, </w:t>
      </w:r>
      <w:r w:rsidRPr="000672CF">
        <w:rPr>
          <w:rFonts w:ascii="Georgia Pro" w:hAnsi="Georgia Pro"/>
          <w:i/>
        </w:rPr>
        <w:t>Osud</w:t>
      </w:r>
      <w:r w:rsidRPr="000672CF">
        <w:rPr>
          <w:rFonts w:ascii="Georgia Pro" w:hAnsi="Georgia Pro"/>
        </w:rPr>
        <w:t>, s. 36.</w:t>
      </w:r>
    </w:p>
    <w:p w:rsidR="004B3A49" w:rsidRPr="000672CF" w:rsidRDefault="004B3A49" w:rsidP="004B3A49">
      <w:pPr>
        <w:numPr>
          <w:ilvl w:val="0"/>
          <w:numId w:val="1"/>
        </w:numPr>
        <w:tabs>
          <w:tab w:val="num" w:pos="284"/>
        </w:tabs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I. HLOBIL – E. PETRŮ, </w:t>
      </w:r>
      <w:r w:rsidRPr="000672CF">
        <w:rPr>
          <w:rFonts w:ascii="Georgia Pro" w:hAnsi="Georgia Pro"/>
          <w:i/>
        </w:rPr>
        <w:t>Humanismus</w:t>
      </w:r>
      <w:r w:rsidRPr="000672CF">
        <w:rPr>
          <w:rFonts w:ascii="Georgia Pro" w:hAnsi="Georgia Pro"/>
        </w:rPr>
        <w:t>, s. 45.</w:t>
      </w:r>
    </w:p>
    <w:p w:rsidR="004B3A49" w:rsidRPr="000672CF" w:rsidRDefault="004B3A49" w:rsidP="004B3A49">
      <w:pPr>
        <w:numPr>
          <w:ilvl w:val="0"/>
          <w:numId w:val="1"/>
        </w:numPr>
        <w:tabs>
          <w:tab w:val="num" w:pos="284"/>
        </w:tabs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>J. JIREČEK (</w:t>
      </w:r>
      <w:proofErr w:type="spellStart"/>
      <w:r w:rsidRPr="000672CF">
        <w:rPr>
          <w:rFonts w:ascii="Georgia Pro" w:hAnsi="Georgia Pro"/>
        </w:rPr>
        <w:t>ed</w:t>
      </w:r>
      <w:proofErr w:type="spellEnd"/>
      <w:r w:rsidRPr="000672CF">
        <w:rPr>
          <w:rFonts w:ascii="Georgia Pro" w:hAnsi="Georgia Pro"/>
        </w:rPr>
        <w:t xml:space="preserve">.), </w:t>
      </w:r>
      <w:r w:rsidRPr="000672CF">
        <w:rPr>
          <w:rFonts w:ascii="Georgia Pro" w:hAnsi="Georgia Pro"/>
          <w:i/>
        </w:rPr>
        <w:t>Zřízení zemská</w:t>
      </w:r>
      <w:r w:rsidRPr="000672CF">
        <w:rPr>
          <w:rFonts w:ascii="Georgia Pro" w:hAnsi="Georgia Pro"/>
        </w:rPr>
        <w:t>, s. 216.</w:t>
      </w:r>
    </w:p>
    <w:p w:rsidR="004B3A49" w:rsidRPr="000672CF" w:rsidRDefault="004B3A49" w:rsidP="004B3A49">
      <w:pPr>
        <w:numPr>
          <w:ilvl w:val="0"/>
          <w:numId w:val="1"/>
        </w:numPr>
        <w:tabs>
          <w:tab w:val="num" w:pos="284"/>
        </w:tabs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>V. BŘEZAN (</w:t>
      </w:r>
      <w:proofErr w:type="spellStart"/>
      <w:r w:rsidRPr="000672CF">
        <w:rPr>
          <w:rFonts w:ascii="Georgia Pro" w:hAnsi="Georgia Pro"/>
        </w:rPr>
        <w:t>ed</w:t>
      </w:r>
      <w:proofErr w:type="spellEnd"/>
      <w:r w:rsidRPr="000672CF">
        <w:rPr>
          <w:rFonts w:ascii="Georgia Pro" w:hAnsi="Georgia Pro"/>
        </w:rPr>
        <w:t xml:space="preserve">. J. PÁNEK), </w:t>
      </w:r>
      <w:r w:rsidRPr="000672CF">
        <w:rPr>
          <w:rFonts w:ascii="Georgia Pro" w:hAnsi="Georgia Pro"/>
          <w:i/>
        </w:rPr>
        <w:t>Životy I</w:t>
      </w:r>
      <w:r w:rsidRPr="000672CF">
        <w:rPr>
          <w:rFonts w:ascii="Georgia Pro" w:hAnsi="Georgia Pro"/>
        </w:rPr>
        <w:t>, s. 101.</w:t>
      </w:r>
    </w:p>
    <w:p w:rsidR="004B3A49" w:rsidRPr="000672CF" w:rsidRDefault="004B3A49" w:rsidP="004B3A49">
      <w:pPr>
        <w:numPr>
          <w:ilvl w:val="0"/>
          <w:numId w:val="1"/>
        </w:numPr>
        <w:tabs>
          <w:tab w:val="num" w:pos="284"/>
        </w:tabs>
        <w:spacing w:after="0" w:line="240" w:lineRule="auto"/>
        <w:rPr>
          <w:rFonts w:ascii="Georgia Pro" w:hAnsi="Georgia Pro"/>
        </w:rPr>
      </w:pPr>
      <w:r w:rsidRPr="000672CF">
        <w:rPr>
          <w:rFonts w:ascii="Georgia Pro" w:hAnsi="Georgia Pro"/>
        </w:rPr>
        <w:t xml:space="preserve">SOA Třeboň. </w:t>
      </w:r>
      <w:proofErr w:type="spellStart"/>
      <w:r w:rsidRPr="000672CF">
        <w:rPr>
          <w:rFonts w:ascii="Georgia Pro" w:hAnsi="Georgia Pro"/>
        </w:rPr>
        <w:t>Vs</w:t>
      </w:r>
      <w:proofErr w:type="spellEnd"/>
      <w:r w:rsidRPr="000672CF">
        <w:rPr>
          <w:rFonts w:ascii="Georgia Pro" w:hAnsi="Georgia Pro"/>
        </w:rPr>
        <w:t xml:space="preserve"> Orlík, sign. H-1a/4.</w:t>
      </w:r>
    </w:p>
    <w:p w:rsidR="004B3A49" w:rsidRPr="009F244F" w:rsidRDefault="004B3A49" w:rsidP="004B3A49">
      <w:pPr>
        <w:rPr>
          <w:rFonts w:ascii="Georgia Pro" w:hAnsi="Georgia Pro"/>
          <w:sz w:val="24"/>
          <w:szCs w:val="24"/>
        </w:rPr>
      </w:pPr>
    </w:p>
    <w:p w:rsidR="004B3A49" w:rsidRPr="00B850E2" w:rsidRDefault="004B3A49" w:rsidP="004B3A49">
      <w:pPr>
        <w:widowControl w:val="0"/>
        <w:spacing w:after="0" w:line="240" w:lineRule="auto"/>
        <w:rPr>
          <w:rFonts w:ascii="Georgia Pro" w:eastAsia="Times New Roman" w:hAnsi="Georgia Pro" w:cs="Times New Roman"/>
          <w:sz w:val="24"/>
          <w:szCs w:val="24"/>
        </w:rPr>
      </w:pPr>
    </w:p>
    <w:p w:rsidR="007B65E7" w:rsidRDefault="007B65E7"/>
    <w:sectPr w:rsidR="007B6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B4C44"/>
    <w:multiLevelType w:val="hybridMultilevel"/>
    <w:tmpl w:val="B93265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49"/>
    <w:rsid w:val="004B3A49"/>
    <w:rsid w:val="005A6E01"/>
    <w:rsid w:val="007B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DBB6"/>
  <w15:chartTrackingRefBased/>
  <w15:docId w15:val="{DC24C0AD-6EBB-4904-BA51-B82B23DF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A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Běhalová</dc:creator>
  <cp:keywords/>
  <dc:description/>
  <cp:lastModifiedBy>Štěpánka Běhalová</cp:lastModifiedBy>
  <cp:revision>2</cp:revision>
  <dcterms:created xsi:type="dcterms:W3CDTF">2026-03-11T13:17:00Z</dcterms:created>
  <dcterms:modified xsi:type="dcterms:W3CDTF">2026-03-12T12:42:00Z</dcterms:modified>
</cp:coreProperties>
</file>